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Cs w:val="32"/>
          <w:lang w:val="en-US" w:eastAsia="zh-CN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1</w:t>
      </w:r>
    </w:p>
    <w:p>
      <w:pPr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2023年眉山天府新区视高街道办事处第</w:t>
      </w:r>
      <w:r>
        <w:rPr>
          <w:rFonts w:hint="eastAsia" w:eastAsia="方正小标宋简体"/>
          <w:sz w:val="36"/>
          <w:szCs w:val="36"/>
          <w:lang w:val="en-US" w:eastAsia="zh-CN"/>
        </w:rPr>
        <w:t>四</w:t>
      </w:r>
      <w:r>
        <w:rPr>
          <w:rFonts w:hint="eastAsia" w:eastAsia="方正小标宋简体"/>
          <w:sz w:val="36"/>
          <w:szCs w:val="36"/>
        </w:rPr>
        <w:t>季度公开招聘编外人员岗位及要求一览表</w:t>
      </w:r>
    </w:p>
    <w:p>
      <w:pPr>
        <w:pStyle w:val="2"/>
      </w:pPr>
    </w:p>
    <w:tbl>
      <w:tblPr>
        <w:tblStyle w:val="5"/>
        <w:tblW w:w="127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80"/>
        <w:gridCol w:w="1662"/>
        <w:gridCol w:w="1411"/>
        <w:gridCol w:w="3856"/>
        <w:gridCol w:w="2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5"/>
                <w:szCs w:val="25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5"/>
                <w:szCs w:val="25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5"/>
                <w:szCs w:val="25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5"/>
                <w:szCs w:val="25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5"/>
                <w:szCs w:val="25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5"/>
                <w:szCs w:val="25"/>
                <w:highlight w:val="none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SG231101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综合执法辅助（一）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168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城管内勤岗，负责办公室内勤工作，完成本部门其他工作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1.大学专科及以上学历；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168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2.具有一定文字功底，能熟练掌握办公软件，综合协调能力强；</w:t>
            </w:r>
          </w:p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3.报名考试年龄不得超过35周岁。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30" w:leftChars="0" w:hanging="330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SG231102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综合执法辅助（二）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168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外勤执法岗，协助开展城市管理执法、城乡环境治理、市场管理等工作，完成本部门其他工作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1.限退役军人；</w:t>
            </w:r>
          </w:p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2.学历高中或同等学历及以上；</w:t>
            </w:r>
          </w:p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3.政治面貌为中共党员的优先；</w:t>
            </w:r>
          </w:p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4.长期居住在视高街道范围内人员优先；</w:t>
            </w:r>
          </w:p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5.报名考试年龄不得超过40周岁。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168" w:beforeAutospacing="0" w:after="168" w:afterAutospacing="0" w:line="360" w:lineRule="exact"/>
              <w:ind w:left="360" w:leftChars="0" w:hanging="360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考核招聘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mNkOGRkMDlkZjRiZDlmNGM2MWM0ZTA2ZWU3YTUifQ=="/>
  </w:docVars>
  <w:rsids>
    <w:rsidRoot w:val="63D67AFD"/>
    <w:rsid w:val="2BF4751F"/>
    <w:rsid w:val="63D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宋体"/>
      <w:sz w:val="21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295</Characters>
  <Lines>0</Lines>
  <Paragraphs>0</Paragraphs>
  <TotalTime>1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2023-11-23T01:35:00Z</dcterms:created>
  <dc:creator>环天实业--陈弘辞</dc:creator>
  <cp:lastModifiedBy>环天实业--陈弘辞</cp:lastModifiedBy>
  <dcterms:modified xsi:type="dcterms:W3CDTF">2023-11-23T02:20:29Z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71ECC4DA028F4BC486EFAC0AD2643571_11</vt:lpwstr>
  </property>
</Properties>
</file>